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850"/>
        <w:gridCol w:w="4396"/>
      </w:tblGrid>
      <w:tr w:rsidR="00CC3155" w:rsidTr="00CC3155">
        <w:trPr>
          <w:trHeight w:val="2038"/>
        </w:trPr>
        <w:tc>
          <w:tcPr>
            <w:tcW w:w="4322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ДЕПУТАТОВ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ПОКРОВСКИЙ СЕЛЬСОВЕТ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РЕШЕНИЕ </w:t>
            </w: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Tr="00CC3155">
        <w:trPr>
          <w:trHeight w:val="850"/>
        </w:trPr>
        <w:tc>
          <w:tcPr>
            <w:tcW w:w="4322" w:type="dxa"/>
          </w:tcPr>
          <w:p w:rsidR="00CC3155" w:rsidRDefault="00CC315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CC3155" w:rsidRDefault="00C72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02.08.2019</w:t>
            </w:r>
            <w:r w:rsidR="00D43DA5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64/4</w:t>
            </w:r>
            <w:r w:rsidR="00D43DA5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  <w:r w:rsidR="00CC315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-</w:t>
            </w:r>
            <w:proofErr w:type="spellStart"/>
            <w:r w:rsidR="00CC315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р.С</w:t>
            </w:r>
            <w:proofErr w:type="spellEnd"/>
            <w:r w:rsidR="00CC315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.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Покровка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Tr="00CC3155">
        <w:trPr>
          <w:cantSplit/>
        </w:trPr>
        <w:tc>
          <w:tcPr>
            <w:tcW w:w="4322" w:type="dxa"/>
            <w:hideMark/>
          </w:tcPr>
          <w:p w:rsidR="00CC3155" w:rsidRPr="003C1450" w:rsidRDefault="00D43DA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 внесении изменений в решение Совета</w:t>
            </w:r>
            <w:r w:rsidR="003C1450" w:rsidRPr="003C14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депутатов от 28.06.2019 г. № 63/1-р.С. «Об утверждении</w:t>
            </w:r>
            <w:r w:rsidR="00CC3155" w:rsidRPr="003C14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муниципальной программы «Формирование  комфортной  городской  среды  в МО Покровский сельсовет на 2018-2022 годы»</w:t>
            </w: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Pr="003C1450" w:rsidRDefault="003C1450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30 декабря 2017 года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6" w:history="1">
        <w:r w:rsidRPr="003C1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Оренбургской области от 28 апреля 2011 года N 279-п "Об утверждении порядка разработки, реализации и оценки эффективности государственных программ Оренбургской области"</w:t>
        </w:r>
      </w:hyperlink>
      <w:r w:rsidR="00CC3155" w:rsidRP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руководствуясь Уставом МО Покровский сельсовет.</w:t>
      </w:r>
      <w:proofErr w:type="gramEnd"/>
    </w:p>
    <w:p w:rsidR="003C1450" w:rsidRPr="003C1450" w:rsidRDefault="001C5E65" w:rsidP="003C14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1.   В наименовании</w:t>
      </w:r>
      <w:r w:rsid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пункт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е</w:t>
      </w:r>
      <w:r w:rsid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1 решения слова «на 2018-2022 годы» исключить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изложив их в новой редакции « Муниципальная программа «Формирование комфортной городской среды  в МО Покровский сельсовет»</w:t>
      </w:r>
      <w:r w:rsid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CC3155" w:rsidRDefault="003C1450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2. </w:t>
      </w:r>
      <w:r w:rsidR="001C5E6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Внести изменения в Паспорт муниципальной программы, в раздел 1, 2, 3, 4, 5, 8 согласно приложению № 1 .</w:t>
      </w:r>
    </w:p>
    <w:p w:rsidR="001C5E65" w:rsidRPr="003C1450" w:rsidRDefault="001C5E6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 Внести изменения в Приложения № 1, 2, 3 согласно приложению № 1 к программе «Формирование комфортной городской среды МО Покровский сельсовет».</w:t>
      </w:r>
    </w:p>
    <w:p w:rsidR="00CC3155" w:rsidRPr="003C1450" w:rsidRDefault="003C1450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3.   </w:t>
      </w:r>
      <w:proofErr w:type="gramStart"/>
      <w:r w:rsidR="00CC3155" w:rsidRP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="00CC3155" w:rsidRP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исполнением настоящего решения оставляю за собой.</w:t>
      </w:r>
    </w:p>
    <w:p w:rsidR="00CC3155" w:rsidRPr="003C1450" w:rsidRDefault="003C1450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4.  </w:t>
      </w:r>
      <w:r w:rsidR="00CC3155" w:rsidRPr="003C145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Настоящее  решение  вступает  в  силу  после  его  официального опубликования.</w:t>
      </w:r>
    </w:p>
    <w:p w:rsidR="00CC3155" w:rsidRPr="003C1450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CC3155" w:rsidRPr="003C1450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Покровский  сельсовет</w:t>
      </w: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А.А. Панченко</w:t>
      </w:r>
    </w:p>
    <w:p w:rsidR="00CC3155" w:rsidRPr="003C1450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3155" w:rsidRPr="003C1450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3155" w:rsidRPr="001C5E65" w:rsidRDefault="00CC3155" w:rsidP="001C5E6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дело, для обнародования, прокурору.</w:t>
      </w:r>
    </w:p>
    <w:p w:rsidR="00CC3155" w:rsidRPr="003C1450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widowControl w:val="0"/>
        <w:suppressAutoHyphens/>
        <w:spacing w:after="0" w:line="100" w:lineRule="atLeast"/>
        <w:ind w:firstLine="6096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3C1450" w:rsidRDefault="00CC3155" w:rsidP="00CC3155">
      <w:pPr>
        <w:widowControl w:val="0"/>
        <w:suppressAutoHyphens/>
        <w:spacing w:after="0" w:line="100" w:lineRule="atLeast"/>
        <w:ind w:firstLine="6096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</w:t>
      </w:r>
    </w:p>
    <w:p w:rsidR="00D43DA5" w:rsidRPr="003C1450" w:rsidRDefault="00D43DA5" w:rsidP="00D43DA5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Приложение  № 1 </w:t>
      </w:r>
      <w:proofErr w:type="gramStart"/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</w:t>
      </w:r>
      <w:proofErr w:type="gramEnd"/>
    </w:p>
    <w:p w:rsidR="00D43DA5" w:rsidRPr="003C1450" w:rsidRDefault="00D43DA5" w:rsidP="00D43DA5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решению</w:t>
      </w:r>
    </w:p>
    <w:p w:rsidR="00D43DA5" w:rsidRPr="003C1450" w:rsidRDefault="00D43DA5" w:rsidP="00D43DA5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Совета депутатов МО</w:t>
      </w:r>
    </w:p>
    <w:p w:rsidR="00D43DA5" w:rsidRPr="003C1450" w:rsidRDefault="00D43DA5" w:rsidP="00D43DA5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Покровский сельсовет</w:t>
      </w:r>
    </w:p>
    <w:p w:rsidR="00D43DA5" w:rsidRPr="003C1450" w:rsidRDefault="00D43DA5" w:rsidP="00D43DA5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От </w:t>
      </w:r>
      <w:r w:rsidR="00C7247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02.08.2019</w:t>
      </w:r>
      <w:r w:rsidRPr="003C14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C72470">
        <w:rPr>
          <w:rFonts w:ascii="Times New Roman" w:eastAsia="Times New Roman" w:hAnsi="Times New Roman" w:cs="Times New Roman"/>
          <w:sz w:val="24"/>
          <w:szCs w:val="24"/>
          <w:u w:val="single"/>
        </w:rPr>
        <w:t>64/4</w:t>
      </w:r>
      <w:bookmarkStart w:id="0" w:name="_GoBack"/>
      <w:bookmarkEnd w:id="0"/>
      <w:r w:rsidRPr="003C14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 w:rsidRPr="003C1450">
        <w:rPr>
          <w:rFonts w:ascii="Times New Roman" w:eastAsia="Times New Roman" w:hAnsi="Times New Roman" w:cs="Times New Roman"/>
          <w:sz w:val="24"/>
          <w:szCs w:val="24"/>
          <w:u w:val="single"/>
        </w:rPr>
        <w:t>р.С</w:t>
      </w:r>
      <w:proofErr w:type="spellEnd"/>
      <w:r w:rsidRPr="003C145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43DA5" w:rsidRPr="003C1450" w:rsidRDefault="00D43DA5" w:rsidP="00D43DA5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Изменения,</w:t>
      </w: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которые</w:t>
      </w:r>
      <w:proofErr w:type="gramEnd"/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вносятся в муниципальную программу</w:t>
      </w:r>
    </w:p>
    <w:p w:rsidR="00D43DA5" w:rsidRPr="003C1450" w:rsidRDefault="00D43DA5" w:rsidP="00D43DA5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«Формирование комфортной городской  среды в МО Покровский сельсовет на 2018-2022 годы»</w:t>
      </w: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pStyle w:val="a7"/>
        <w:widowControl w:val="0"/>
        <w:numPr>
          <w:ilvl w:val="0"/>
          <w:numId w:val="11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муниципальной программы </w:t>
      </w: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«Формирование комфортной городской  среды в МО Покровский сельсовет»  на 2018-2022 годы» (далее – Программа) изложить в новой редакции:</w:t>
      </w:r>
    </w:p>
    <w:p w:rsidR="00D43DA5" w:rsidRPr="003C1450" w:rsidRDefault="00D43DA5" w:rsidP="00D43DA5">
      <w:pPr>
        <w:pStyle w:val="a7"/>
        <w:widowControl w:val="0"/>
        <w:suppressAutoHyphens/>
        <w:spacing w:after="0" w:line="100" w:lineRule="atLeast"/>
        <w:ind w:left="108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« Муниципальная  программа «Формирование комфортной городской среды в МО Покровский сельсовет».</w:t>
      </w:r>
    </w:p>
    <w:p w:rsidR="00D43DA5" w:rsidRPr="003C1450" w:rsidRDefault="00D43DA5" w:rsidP="00D43DA5">
      <w:pPr>
        <w:pStyle w:val="a7"/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Паспорт  и список определений, используемых в Программе изложить в новой редакции:</w:t>
      </w:r>
    </w:p>
    <w:p w:rsidR="00D43DA5" w:rsidRPr="003C1450" w:rsidRDefault="00D43DA5" w:rsidP="00D43DA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«Паспорт</w:t>
      </w:r>
    </w:p>
    <w:p w:rsidR="00D43DA5" w:rsidRPr="003C1450" w:rsidRDefault="00D43DA5" w:rsidP="00D43DA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муниципальной программы «Формирование комфортной городской среды в    МО Покровский сельсовет» (далее Программа)</w:t>
      </w:r>
    </w:p>
    <w:p w:rsidR="00D43DA5" w:rsidRPr="003C1450" w:rsidRDefault="00D43DA5" w:rsidP="00D43DA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D43DA5" w:rsidRPr="003C1450" w:rsidTr="00547125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3C14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A5" w:rsidRPr="003C1450" w:rsidRDefault="00D43DA5" w:rsidP="0054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С 2018 по 2024 годы, этапы не выделяются</w:t>
            </w:r>
          </w:p>
        </w:tc>
      </w:tr>
      <w:tr w:rsidR="00D43DA5" w:rsidRPr="003C1450" w:rsidTr="00547125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Суммарный  объем  финансирования  Программы  на  2018-2024  годы,  составляет  1009,126* 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 рублей, в том числе по годам реализации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– 0,0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- 309,126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-100,0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2021  год - 100,0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2022 год - 200,0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2023  год - 100,0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2024 год - 200,0 тыс. рублей.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Объем  финансирования  Программы 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на  2018-2024  годы,  составляет 1009,126*  тыс.  руб.  </w:t>
            </w:r>
            <w:proofErr w:type="gramStart"/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за</w:t>
            </w:r>
            <w:proofErr w:type="gramEnd"/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счет средств бюджета МО Покровский сельсовет, из них: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- 0,0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- 309,126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- 100,0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2021  год - 100,0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2022 год - 200,0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2023  год - 100,0 тыс. рублей;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2024 год - 200,0 тыс. рублей.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Общий объем средств бюджета МО Покровский сельсовет может быть скорректирован на сумму субсидий </w:t>
            </w:r>
            <w:proofErr w:type="gramStart"/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из</w:t>
            </w:r>
            <w:proofErr w:type="gramEnd"/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областного бюджета и внебюджетных источников.</w:t>
            </w: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D43DA5" w:rsidRPr="003C1450" w:rsidRDefault="00D43DA5" w:rsidP="0054712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Объемы  финансирования  носят прогнозный характер и подлежат уточнению.</w:t>
            </w:r>
          </w:p>
        </w:tc>
      </w:tr>
    </w:tbl>
    <w:p w:rsidR="00D43DA5" w:rsidRPr="003C1450" w:rsidRDefault="00D43DA5" w:rsidP="00D43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определений, используемых в Программе: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</w: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благоустройство территории - 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бульвар - аллея или полоса зеленых насаждений вдоль улицы, вдоль берега реки, предназначенная для прогулок, пешеходного движения, кратковременного отдыха, защиты тротуаров и зданий от пыли и шума;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дворовая территория многоквартирных домов (далее - МКД) -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малые города - населенные пункты, имеющие статус города, с численностью населения до 100 тыс. человек включительно;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</w:rPr>
        <w:t>дизайн-проект -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</w:r>
      <w:proofErr w:type="gramEnd"/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виды работ по благоустройству дворовых территорий -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жилья);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инвентаризация территории - комплекс мероприятий, направленных на выявление и уточнение данных территории в целях учета такой территории;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индекс качества городской среды муниципального образования (далее - индекс) - цифровое значение состояния городской среды населенных пунктов, входящих в муниципальное образование, полученное в результате комплексной оценки количественных и поддающихся измерению показателей, характеризующих уровень комфорта проживания на соответствующей территории (далее - индикаторы), в соответствии с критериями, утвержденными постановлением Правительства Российской Федерации;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комплексный проект благоустройства общественной территории - проект благоустройства, предусматривающий использование различных элементов благоустройства, а также функциональное разнообразие на объекте благоустройства в целях обеспечения привлекательности территории для разных групп населения;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 и другие объекты городского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детских, спортивных площадок, площадок для отдыха, другое);</w:t>
      </w:r>
      <w:proofErr w:type="gramEnd"/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минимальный перечень работ по благоустройству дворовых территорий - ремонт дворовых проездов, ремонт (устройство) тротуаров, ремонт подходов к входам МКД, обеспечение освещения дворовых территорий, установка скамеек, урн;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набережная - сооружение, окаймляющее береговую линию реки или других водных объектов, созданное для укрепления берега, предохранения его от размыва, удобного прохода и проезда вдоль берега;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наружное освещение (в том числе праздничное)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города;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 xml:space="preserve">неблагоприятная среда - состояние городской среды, устанавливаемое в соответствии с </w:t>
      </w:r>
      <w:hyperlink r:id="rId7" w:history="1">
        <w:r w:rsidRPr="003C1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Методикой формирования индекса качества городской среды</w:t>
        </w:r>
      </w:hyperlink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Pr="003C1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распоряжением Правительства Российской Федерации от 23 марта 2019 года N 510-р</w:t>
        </w:r>
      </w:hyperlink>
      <w:r w:rsidRPr="003C1450">
        <w:rPr>
          <w:rFonts w:ascii="Times New Roman" w:eastAsia="Times New Roman" w:hAnsi="Times New Roman" w:cs="Times New Roman"/>
          <w:sz w:val="24"/>
          <w:szCs w:val="24"/>
        </w:rPr>
        <w:t>, при котором количество набранных муниципальным образованием, в отношении которого устанавливается индекс, баллов составляет менее 50 процентов от максимально возможного количества баллов;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</w:rPr>
        <w:t>общественные территории (территории общего пользования) - территории муниципальных образований, свободные от транспорта, в том числе пешеходные зоны, площади, улицы, скверы, парки, бульвары, пляжи, набережные, а также наземные, подземные, надземные части зданий и сооружений, специально предназначенные для использования неограниченным кругом лиц в целях организации досуга, проведения массовых мероприятий;</w:t>
      </w:r>
      <w:proofErr w:type="gramEnd"/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3C1450"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 и другое) и благоустройству озелененных территорий (непосредственная посадка деревьев, в том числе крупномеров, кустарников, создание травянистых газонов, цветников, альпинариев и розариев, устройство специализированных садов, другое);</w:t>
      </w:r>
      <w:proofErr w:type="gramEnd"/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парк - озелененная территория, представляющая собой часть территории природного комплекса, на которой располагаются природные и искусственно созданные садово-парковые комплексы и объекты (парк, сад, сквер, бульвар);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парковка (парковочное место) - специально обозначенное и при необходимости обустроенное и оборудованное место, примыкающее к проезжей части и (или) тротуару, обочине, эстакаде или мосту либо являющееся частью </w:t>
      </w:r>
      <w:proofErr w:type="spellStart"/>
      <w:r w:rsidRPr="003C1450">
        <w:rPr>
          <w:rFonts w:ascii="Times New Roman" w:eastAsia="Times New Roman" w:hAnsi="Times New Roman" w:cs="Times New Roman"/>
          <w:sz w:val="24"/>
          <w:szCs w:val="24"/>
        </w:rPr>
        <w:t>подэстакадных</w:t>
      </w:r>
      <w:proofErr w:type="spellEnd"/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3C1450">
        <w:rPr>
          <w:rFonts w:ascii="Times New Roman" w:eastAsia="Times New Roman" w:hAnsi="Times New Roman" w:cs="Times New Roman"/>
          <w:sz w:val="24"/>
          <w:szCs w:val="24"/>
        </w:rPr>
        <w:t>подмостовых</w:t>
      </w:r>
      <w:proofErr w:type="spellEnd"/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</w:t>
      </w:r>
      <w:proofErr w:type="gramEnd"/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паспорт объекта -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пешеходная дорожка - размещаемое за пределами проезжей части инженерное сооружение, предназначенное для движения пешеходов, обеспечивающее связь между функциональными зонами благоустраиваемой территории;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 (наличие остановок </w:t>
      </w:r>
      <w:r w:rsidRPr="003C1450">
        <w:rPr>
          <w:rFonts w:ascii="Times New Roman" w:eastAsia="Times New Roman" w:hAnsi="Times New Roman" w:cs="Times New Roman"/>
          <w:sz w:val="24"/>
          <w:szCs w:val="24"/>
        </w:rPr>
        <w:lastRenderedPageBreak/>
        <w:t>скоростного внеуличного и наземного общественного транспорта, высокая концентрация объектов обслуживания, памятников истории и культуры, рекреаций, высокая суммарная плотность пешеходных потоков); могут формироваться на эспланадах, пешеходных улицах, пешеходных частях площадей населенного пункта;</w:t>
      </w:r>
      <w:proofErr w:type="gramEnd"/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площадь - открытое, архитектурно обрамленное зданиями и зелеными насаждениями пространство, входящее в систему городских пространств;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пляж - территория массового отдыха на берегу водоема с открытым плоским берегом и обустроенной частью водоема в целях безопасного купания;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сквер - объект озеленения города, представляющий собой участок площадью около 0,15 - 2 гектара, размещаемый на площади, перекрестке улиц либо на примыкающем к улице участке квартала; планировка включает дорожки, площадки, газоны, цветники, отдельные группы деревьев, кустарников; предназначается для кратковременного отдыха пешеходов и художественного оформления архитектурного ансамбля;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территории особого городского значения - территории с особым статусом, обладающие повышенной культурно-рекреационной и социальной ценностью, на которых действуют повышенные требования к качеству проектирования, содержанию фасадов и благоустройству территорий в соответствии с перечнем, утвержденным руководителем муниципального образования в установленном порядке;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тротуар - элемент дороги, предназначенный для движения пешеходов и примыкающий к проезжей части дворового проезда;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пешеходная, велосипедная и парковая дорога, дорога в научно-производственных, промышленных и коммунально-складских зонах (районах);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</w: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D43DA5" w:rsidRPr="003C1450" w:rsidRDefault="00D43DA5" w:rsidP="00D43DA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43DA5" w:rsidRPr="003C1450" w:rsidRDefault="00D43DA5" w:rsidP="00D43DA5">
      <w:pPr>
        <w:pStyle w:val="a7"/>
        <w:widowControl w:val="0"/>
        <w:suppressAutoHyphens/>
        <w:spacing w:after="0" w:line="100" w:lineRule="atLeast"/>
        <w:ind w:left="108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раздел </w:t>
      </w:r>
      <w:r w:rsidRPr="003C145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1</w:t>
      </w: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внести изменения:</w:t>
      </w:r>
    </w:p>
    <w:p w:rsidR="00D43DA5" w:rsidRPr="003C1450" w:rsidRDefault="00D43DA5" w:rsidP="00D43DA5">
      <w:pPr>
        <w:pStyle w:val="a7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 xml:space="preserve">Реализация  мероприятий  муниципальной  программы  позволит  создать  в  2018-2024 годах  благоприятные  условия  проживания  жителей  МО Покровский сельсовет,  </w:t>
      </w:r>
      <w:r w:rsidRPr="003C1450">
        <w:rPr>
          <w:rFonts w:ascii="Times New Roman" w:hAnsi="Times New Roman" w:cs="Times New Roman"/>
          <w:sz w:val="24"/>
          <w:szCs w:val="24"/>
        </w:rPr>
        <w:lastRenderedPageBreak/>
        <w:t>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D43DA5" w:rsidRPr="003C1450" w:rsidRDefault="00D43DA5" w:rsidP="00D4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Адресный перечень всех дворовых территорий, нуждающихся в благоустройстве (с учётом их физического состояния) и подлежащих благоустройству в период 2018-2024 годы.</w:t>
      </w:r>
    </w:p>
    <w:tbl>
      <w:tblPr>
        <w:tblpPr w:leftFromText="180" w:rightFromText="180" w:vertAnchor="text" w:horzAnchor="margin" w:tblpX="183" w:tblpY="37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001"/>
      </w:tblGrid>
      <w:tr w:rsidR="00D43DA5" w:rsidRPr="003C1450" w:rsidTr="00547125">
        <w:trPr>
          <w:trHeight w:val="413"/>
        </w:trPr>
        <w:tc>
          <w:tcPr>
            <w:tcW w:w="1302" w:type="pct"/>
            <w:vMerge w:val="restart"/>
            <w:shd w:val="clear" w:color="auto" w:fill="auto"/>
          </w:tcPr>
          <w:p w:rsidR="00D43DA5" w:rsidRPr="003C1450" w:rsidRDefault="00D43DA5" w:rsidP="0054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8" w:type="pct"/>
            <w:vMerge w:val="restart"/>
            <w:shd w:val="clear" w:color="auto" w:fill="auto"/>
          </w:tcPr>
          <w:p w:rsidR="00D43DA5" w:rsidRPr="003C1450" w:rsidRDefault="00D43DA5" w:rsidP="0054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перечень</w:t>
            </w:r>
          </w:p>
        </w:tc>
      </w:tr>
      <w:tr w:rsidR="00D43DA5" w:rsidRPr="003C1450" w:rsidTr="00547125">
        <w:trPr>
          <w:trHeight w:val="276"/>
        </w:trPr>
        <w:tc>
          <w:tcPr>
            <w:tcW w:w="1302" w:type="pct"/>
            <w:vMerge/>
            <w:shd w:val="clear" w:color="auto" w:fill="auto"/>
          </w:tcPr>
          <w:p w:rsidR="00D43DA5" w:rsidRPr="003C1450" w:rsidRDefault="00D43DA5" w:rsidP="0054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vMerge/>
            <w:shd w:val="clear" w:color="auto" w:fill="auto"/>
          </w:tcPr>
          <w:p w:rsidR="00D43DA5" w:rsidRPr="003C1450" w:rsidRDefault="00D43DA5" w:rsidP="0054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A5" w:rsidRPr="003C1450" w:rsidTr="00547125">
        <w:tc>
          <w:tcPr>
            <w:tcW w:w="1302" w:type="pct"/>
            <w:shd w:val="clear" w:color="auto" w:fill="auto"/>
          </w:tcPr>
          <w:p w:rsidR="00D43DA5" w:rsidRPr="003C1450" w:rsidRDefault="00D43DA5" w:rsidP="00D43D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D43DA5" w:rsidRPr="003C1450" w:rsidRDefault="00D43DA5" w:rsidP="0054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. Покровка, ул. Заводская, 2,4,6</w:t>
            </w:r>
          </w:p>
          <w:p w:rsidR="00D43DA5" w:rsidRPr="003C1450" w:rsidRDefault="00D43DA5" w:rsidP="0054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Строителей, 2,4</w:t>
            </w:r>
          </w:p>
        </w:tc>
      </w:tr>
      <w:tr w:rsidR="00D43DA5" w:rsidRPr="003C1450" w:rsidTr="00547125">
        <w:tc>
          <w:tcPr>
            <w:tcW w:w="1302" w:type="pct"/>
            <w:shd w:val="clear" w:color="auto" w:fill="auto"/>
          </w:tcPr>
          <w:p w:rsidR="00D43DA5" w:rsidRPr="003C1450" w:rsidRDefault="00D43DA5" w:rsidP="00D43D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D43DA5" w:rsidRPr="003C1450" w:rsidRDefault="00D43DA5" w:rsidP="0054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. Покровка, ул. Светлая, 1,3</w:t>
            </w:r>
          </w:p>
        </w:tc>
      </w:tr>
    </w:tbl>
    <w:p w:rsidR="00D43DA5" w:rsidRPr="003C1450" w:rsidRDefault="00D43DA5" w:rsidP="00D4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D43DA5" w:rsidRPr="003C1450" w:rsidRDefault="00D43DA5" w:rsidP="00D4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всех общественных территорий, нуждающихся в благоустройстве</w:t>
      </w:r>
    </w:p>
    <w:p w:rsidR="00D43DA5" w:rsidRPr="003C1450" w:rsidRDefault="00D43DA5" w:rsidP="00D4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(с учётом их физического состояния)</w:t>
      </w:r>
    </w:p>
    <w:p w:rsidR="00D43DA5" w:rsidRPr="003C1450" w:rsidRDefault="00D43DA5" w:rsidP="00D4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и подлежащих благоустройству в период 2018- 2024 годы</w:t>
      </w:r>
    </w:p>
    <w:p w:rsidR="00D43DA5" w:rsidRPr="003C1450" w:rsidRDefault="00D43DA5" w:rsidP="00D43D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360" w:type="dxa"/>
        <w:tblLook w:val="04A0" w:firstRow="1" w:lastRow="0" w:firstColumn="1" w:lastColumn="0" w:noHBand="0" w:noVBand="1"/>
      </w:tblPr>
      <w:tblGrid>
        <w:gridCol w:w="1148"/>
        <w:gridCol w:w="6212"/>
      </w:tblGrid>
      <w:tr w:rsidR="00D43DA5" w:rsidRPr="003C1450" w:rsidTr="00547125">
        <w:trPr>
          <w:trHeight w:val="269"/>
        </w:trPr>
        <w:tc>
          <w:tcPr>
            <w:tcW w:w="0" w:type="auto"/>
          </w:tcPr>
          <w:p w:rsidR="00D43DA5" w:rsidRPr="003C1450" w:rsidRDefault="00D43DA5" w:rsidP="005471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43DA5" w:rsidRPr="003C1450" w:rsidRDefault="00D43DA5" w:rsidP="005471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D43DA5" w:rsidRPr="003C1450" w:rsidTr="00547125">
        <w:trPr>
          <w:trHeight w:val="269"/>
        </w:trPr>
        <w:tc>
          <w:tcPr>
            <w:tcW w:w="0" w:type="auto"/>
          </w:tcPr>
          <w:p w:rsidR="00D43DA5" w:rsidRPr="003C1450" w:rsidRDefault="00D43DA5" w:rsidP="005471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3DA5" w:rsidRPr="003C1450" w:rsidRDefault="00D43DA5" w:rsidP="005471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Сквер «Победы»</w:t>
            </w:r>
          </w:p>
        </w:tc>
      </w:tr>
      <w:tr w:rsidR="00D43DA5" w:rsidRPr="003C1450" w:rsidTr="00547125">
        <w:trPr>
          <w:trHeight w:val="282"/>
        </w:trPr>
        <w:tc>
          <w:tcPr>
            <w:tcW w:w="0" w:type="auto"/>
          </w:tcPr>
          <w:p w:rsidR="00D43DA5" w:rsidRPr="003C1450" w:rsidRDefault="00D43DA5" w:rsidP="005471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3DA5" w:rsidRPr="003C1450" w:rsidRDefault="00D43DA5" w:rsidP="005471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Парк по ул. </w:t>
            </w:r>
            <w:proofErr w:type="gramStart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</w:tr>
    </w:tbl>
    <w:p w:rsidR="00D43DA5" w:rsidRPr="003C1450" w:rsidRDefault="00D43DA5" w:rsidP="00D43DA5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счёт средств указанных лиц в соответствии с соглашениями, заключенными с органами местного самоуправления</w:t>
      </w:r>
    </w:p>
    <w:p w:rsidR="00D43DA5" w:rsidRPr="003C1450" w:rsidRDefault="00D43DA5" w:rsidP="00D43DA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008"/>
        <w:gridCol w:w="4745"/>
      </w:tblGrid>
      <w:tr w:rsidR="00D43DA5" w:rsidRPr="003C1450" w:rsidTr="00547125">
        <w:tc>
          <w:tcPr>
            <w:tcW w:w="427" w:type="pct"/>
            <w:shd w:val="clear" w:color="auto" w:fill="auto"/>
          </w:tcPr>
          <w:p w:rsidR="00D43DA5" w:rsidRPr="003C1450" w:rsidRDefault="00D43DA5" w:rsidP="0054712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4" w:type="pct"/>
            <w:shd w:val="clear" w:color="auto" w:fill="auto"/>
          </w:tcPr>
          <w:p w:rsidR="00D43DA5" w:rsidRPr="003C1450" w:rsidRDefault="00D43DA5" w:rsidP="00547125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D43DA5" w:rsidRPr="003C1450" w:rsidRDefault="00D43DA5" w:rsidP="00547125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 w:rsidR="00D43DA5" w:rsidRPr="003C1450" w:rsidTr="00547125">
        <w:tc>
          <w:tcPr>
            <w:tcW w:w="427" w:type="pct"/>
            <w:shd w:val="clear" w:color="auto" w:fill="auto"/>
          </w:tcPr>
          <w:p w:rsidR="00D43DA5" w:rsidRPr="003C1450" w:rsidRDefault="00D43DA5" w:rsidP="0054712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D43DA5" w:rsidRPr="003C1450" w:rsidRDefault="00D43DA5" w:rsidP="0054712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Прилегающая территория, расположенная по адресу: </w:t>
            </w:r>
            <w:proofErr w:type="gramStart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Покровка, ул. Луговая, 1А (ИП Колесников)</w:t>
            </w:r>
            <w:proofErr w:type="gramEnd"/>
          </w:p>
        </w:tc>
        <w:tc>
          <w:tcPr>
            <w:tcW w:w="2479" w:type="pct"/>
            <w:shd w:val="clear" w:color="auto" w:fill="auto"/>
          </w:tcPr>
          <w:p w:rsidR="00D43DA5" w:rsidRPr="003C1450" w:rsidRDefault="00D43DA5" w:rsidP="00547125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соглашением</w:t>
            </w:r>
          </w:p>
        </w:tc>
      </w:tr>
    </w:tbl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В раздел </w:t>
      </w:r>
      <w:r w:rsidRPr="003C145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 внести дополнения: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t>Ключевыми приоритетами  являются: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</w: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увеличение доли граждан, принявших участие в решении вопросов развития городской среды от общего количества граждан в возрасте от 14 лет, проживающих в городах, на территории которых реализуются проекты по созданию комфортной городской среды;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комплексный подход к реализации проектов благоустройства дворовых и общественных территорий населенных пунктов муниципальных образований;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обеспечение доступности городской среды для маломобильных групп населения, в том числе создание </w:t>
      </w:r>
      <w:proofErr w:type="spellStart"/>
      <w:r w:rsidRPr="003C1450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3C1450">
        <w:rPr>
          <w:rFonts w:ascii="Times New Roman" w:eastAsia="Times New Roman" w:hAnsi="Times New Roman" w:cs="Times New Roman"/>
          <w:sz w:val="24"/>
          <w:szCs w:val="24"/>
        </w:rPr>
        <w:t xml:space="preserve"> среды для маломобильных граждан в зоне общественных пространств;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повышение качества городской среды, не требующее специального финансирования (ликвидация вывесок, нарушающих архитектурный облик зданий, введение удобной нумерации зданий, разработка правил уборки территорий, прилегающих к коммерческим объектам и т.д.);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реализация мероприятий, обеспечивающих поддержание территорий муниципальных образований в надлежащем состоянии.</w:t>
      </w: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pStyle w:val="a7"/>
        <w:widowControl w:val="0"/>
        <w:suppressAutoHyphens/>
        <w:spacing w:after="0" w:line="100" w:lineRule="atLeast"/>
        <w:ind w:left="108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раздел </w:t>
      </w:r>
      <w:r w:rsidRPr="003C145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3</w:t>
      </w: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внести изменения:</w:t>
      </w: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A5" w:rsidRPr="003C1450" w:rsidRDefault="00D43DA5" w:rsidP="00D43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целей, решения задач необходимо реализовать мероприятия Программы в 7-летний период (2018-2024 годы)</w:t>
      </w:r>
    </w:p>
    <w:p w:rsidR="00D43DA5" w:rsidRPr="003C1450" w:rsidRDefault="00D43DA5" w:rsidP="00D43D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pStyle w:val="a7"/>
        <w:widowControl w:val="0"/>
        <w:suppressAutoHyphens/>
        <w:spacing w:after="0" w:line="100" w:lineRule="atLeast"/>
        <w:ind w:left="108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раздел </w:t>
      </w:r>
      <w:r w:rsidRPr="003C145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4</w:t>
      </w: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внести изменения:</w:t>
      </w:r>
    </w:p>
    <w:p w:rsidR="00D43DA5" w:rsidRPr="003C1450" w:rsidRDefault="00D43DA5" w:rsidP="00D43DA5">
      <w:pPr>
        <w:rPr>
          <w:rFonts w:ascii="Times New Roman" w:hAnsi="Times New Roman" w:cs="Times New Roman"/>
        </w:rPr>
      </w:pP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2024  года  за  счет  средств  указанных  лиц  в  соответствии  с соглашениями, заключенными с органами местного самоуправления;</w:t>
      </w: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(земельных участков)  об  их  благоустройстве  не  позднее  2024  года  в  соответствии  с требованиями утвержденных в муниципальном образовании правил благоустройства.</w:t>
      </w: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Дополнить минимальный перечень работ по благоустройству дворовых территорий МКД:</w:t>
      </w:r>
    </w:p>
    <w:p w:rsidR="00D43DA5" w:rsidRPr="003C1450" w:rsidRDefault="00D43DA5" w:rsidP="00D4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50">
        <w:rPr>
          <w:rFonts w:ascii="Times New Roman" w:eastAsia="Times New Roman" w:hAnsi="Times New Roman" w:cs="Times New Roman"/>
          <w:sz w:val="24"/>
          <w:szCs w:val="24"/>
        </w:rPr>
        <w:t>-ремонт тротуаров;</w:t>
      </w:r>
      <w:proofErr w:type="gramStart"/>
      <w:r w:rsidRPr="003C145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3C1450">
        <w:rPr>
          <w:rFonts w:ascii="Times New Roman" w:eastAsia="Times New Roman" w:hAnsi="Times New Roman" w:cs="Times New Roman"/>
          <w:sz w:val="24"/>
          <w:szCs w:val="24"/>
        </w:rPr>
        <w:t>ремонт подходов к входам МКД;</w:t>
      </w: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pStyle w:val="a7"/>
        <w:widowControl w:val="0"/>
        <w:suppressAutoHyphens/>
        <w:spacing w:after="0" w:line="100" w:lineRule="atLeast"/>
        <w:ind w:left="108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раздел </w:t>
      </w:r>
      <w:r w:rsidRPr="003C145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5</w:t>
      </w: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внести изменения:</w:t>
      </w: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lastRenderedPageBreak/>
        <w:t>Общий  объем  финансирования  Программы  в  2018-2024  годах  составит  1009,126 тыс. рублей средств местного бюджета.</w:t>
      </w: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pStyle w:val="a7"/>
        <w:widowControl w:val="0"/>
        <w:suppressAutoHyphens/>
        <w:spacing w:after="0" w:line="100" w:lineRule="atLeast"/>
        <w:ind w:left="108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раздел </w:t>
      </w:r>
      <w:r w:rsidRPr="003C145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8</w:t>
      </w: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внести изменения:</w:t>
      </w: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а)  благоустройство  территорий,  прилегающих  к  многоквартирным  жилым  домам,  в результате количество благоустроенных дворовых территорий в целом по МО в 2024 году составит 100 %.</w:t>
      </w: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- порядок разработки, обсуждения заинтересованными лицами и утверждения  дизайн - проектов благоустройства дворовой территории, включенных в муниципальную программу на 2018-2024 годы.</w:t>
      </w: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Внести изменения в Приложения № 1, 2 3 .</w:t>
      </w:r>
    </w:p>
    <w:p w:rsidR="00D43DA5" w:rsidRPr="003C1450" w:rsidRDefault="00D43DA5" w:rsidP="00D43DA5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3DA5" w:rsidRPr="003C1450" w:rsidRDefault="00D43DA5" w:rsidP="00D43DA5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hAnsi="Times New Roman" w:cs="Times New Roman"/>
          <w:sz w:val="24"/>
          <w:szCs w:val="24"/>
        </w:rPr>
        <w:t>к программе «</w:t>
      </w: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</w:t>
      </w:r>
    </w:p>
    <w:p w:rsidR="00D43DA5" w:rsidRPr="003C1450" w:rsidRDefault="00D43DA5" w:rsidP="00D43DA5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комфортной городской  среды»</w:t>
      </w:r>
    </w:p>
    <w:p w:rsidR="00D43DA5" w:rsidRPr="003C1450" w:rsidRDefault="00D43DA5" w:rsidP="00D43DA5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Сведения о показателях (индикаторах) Программы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2156"/>
        <w:gridCol w:w="1311"/>
        <w:gridCol w:w="999"/>
        <w:gridCol w:w="782"/>
        <w:gridCol w:w="782"/>
        <w:gridCol w:w="782"/>
        <w:gridCol w:w="782"/>
        <w:gridCol w:w="750"/>
        <w:gridCol w:w="617"/>
      </w:tblGrid>
      <w:tr w:rsidR="00D43DA5" w:rsidRPr="003C1450" w:rsidTr="00547125">
        <w:trPr>
          <w:trHeight w:val="419"/>
        </w:trPr>
        <w:tc>
          <w:tcPr>
            <w:tcW w:w="610" w:type="dxa"/>
            <w:vMerge w:val="restart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5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5" w:rsidRPr="003C1450" w:rsidTr="00547125">
        <w:trPr>
          <w:trHeight w:val="1507"/>
        </w:trPr>
        <w:tc>
          <w:tcPr>
            <w:tcW w:w="610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50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7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43DA5" w:rsidRPr="003C1450" w:rsidTr="00547125">
        <w:tc>
          <w:tcPr>
            <w:tcW w:w="610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3DA5" w:rsidRPr="003C1450" w:rsidTr="00547125">
        <w:tc>
          <w:tcPr>
            <w:tcW w:w="610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</w:t>
            </w:r>
            <w:proofErr w:type="gramStart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311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9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5" w:rsidRPr="003C1450" w:rsidTr="00547125">
        <w:tc>
          <w:tcPr>
            <w:tcW w:w="610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gramStart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11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5" w:rsidRPr="003C1450" w:rsidTr="00547125">
        <w:tc>
          <w:tcPr>
            <w:tcW w:w="610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</w:t>
            </w:r>
            <w:proofErr w:type="gramStart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общем количестве </w:t>
            </w:r>
            <w:proofErr w:type="gramStart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311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999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3DA5" w:rsidRPr="003C1450" w:rsidTr="00547125">
        <w:tc>
          <w:tcPr>
            <w:tcW w:w="610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6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за отчетный период</w:t>
            </w:r>
          </w:p>
        </w:tc>
        <w:tc>
          <w:tcPr>
            <w:tcW w:w="1311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3DA5" w:rsidRPr="003C1450" w:rsidRDefault="00D43DA5" w:rsidP="00D43DA5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D43DA5" w:rsidRPr="003C1450" w:rsidRDefault="00D43DA5" w:rsidP="00D43DA5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D43DA5" w:rsidRPr="003C1450" w:rsidSect="001E66CD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D43DA5" w:rsidRPr="003C1450" w:rsidRDefault="00D43DA5" w:rsidP="00D43DA5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3DA5" w:rsidRPr="003C1450" w:rsidRDefault="00D43DA5" w:rsidP="00D43DA5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hAnsi="Times New Roman" w:cs="Times New Roman"/>
          <w:sz w:val="24"/>
          <w:szCs w:val="24"/>
        </w:rPr>
        <w:t>к программе «</w:t>
      </w: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</w:t>
      </w:r>
    </w:p>
    <w:p w:rsidR="00D43DA5" w:rsidRPr="003C1450" w:rsidRDefault="00D43DA5" w:rsidP="00D43DA5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C14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комфортной городской  среды»</w:t>
      </w:r>
    </w:p>
    <w:p w:rsidR="00D43DA5" w:rsidRPr="003C1450" w:rsidRDefault="00D43DA5" w:rsidP="00D43DA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C1450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</w:p>
    <w:tbl>
      <w:tblPr>
        <w:tblStyle w:val="a8"/>
        <w:tblW w:w="9601" w:type="dxa"/>
        <w:tblLayout w:type="fixed"/>
        <w:tblLook w:val="04A0" w:firstRow="1" w:lastRow="0" w:firstColumn="1" w:lastColumn="0" w:noHBand="0" w:noVBand="1"/>
      </w:tblPr>
      <w:tblGrid>
        <w:gridCol w:w="477"/>
        <w:gridCol w:w="1332"/>
        <w:gridCol w:w="1560"/>
        <w:gridCol w:w="1559"/>
        <w:gridCol w:w="425"/>
        <w:gridCol w:w="709"/>
        <w:gridCol w:w="709"/>
        <w:gridCol w:w="708"/>
        <w:gridCol w:w="709"/>
        <w:gridCol w:w="709"/>
        <w:gridCol w:w="425"/>
        <w:gridCol w:w="279"/>
      </w:tblGrid>
      <w:tr w:rsidR="00D43DA5" w:rsidRPr="003C1450" w:rsidTr="00547125">
        <w:trPr>
          <w:trHeight w:val="636"/>
        </w:trPr>
        <w:tc>
          <w:tcPr>
            <w:tcW w:w="477" w:type="dxa"/>
            <w:vMerge w:val="restart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vMerge w:val="restart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расходов на финансирование </w:t>
            </w:r>
          </w:p>
        </w:tc>
        <w:tc>
          <w:tcPr>
            <w:tcW w:w="3969" w:type="dxa"/>
            <w:gridSpan w:val="6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425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5" w:rsidRPr="003C1450" w:rsidTr="00547125">
        <w:trPr>
          <w:trHeight w:val="389"/>
        </w:trPr>
        <w:tc>
          <w:tcPr>
            <w:tcW w:w="477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4" w:type="dxa"/>
            <w:gridSpan w:val="2"/>
          </w:tcPr>
          <w:p w:rsidR="00D43DA5" w:rsidRPr="003C1450" w:rsidRDefault="00D43DA5" w:rsidP="0054712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43DA5" w:rsidRPr="003C1450" w:rsidTr="00547125">
        <w:trPr>
          <w:trHeight w:val="401"/>
        </w:trPr>
        <w:tc>
          <w:tcPr>
            <w:tcW w:w="477" w:type="dxa"/>
            <w:vMerge w:val="restart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vMerge w:val="restart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60" w:type="dxa"/>
            <w:vMerge w:val="restart"/>
          </w:tcPr>
          <w:p w:rsidR="00D43DA5" w:rsidRPr="003C1450" w:rsidRDefault="00D43DA5" w:rsidP="00547125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C14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«Формирование комфортной городской  среды в МО Покровский сельсовет на 2018-2024 годы»</w:t>
            </w:r>
          </w:p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309,126</w:t>
            </w: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3DA5" w:rsidRPr="003C1450" w:rsidTr="00547125">
        <w:trPr>
          <w:trHeight w:val="470"/>
        </w:trPr>
        <w:tc>
          <w:tcPr>
            <w:tcW w:w="477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3DA5" w:rsidRPr="003C1450" w:rsidRDefault="00D43DA5" w:rsidP="00547125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425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A5" w:rsidRPr="003C1450" w:rsidTr="00547125">
        <w:trPr>
          <w:trHeight w:val="500"/>
        </w:trPr>
        <w:tc>
          <w:tcPr>
            <w:tcW w:w="477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3DA5" w:rsidRPr="003C1450" w:rsidRDefault="00D43DA5" w:rsidP="00547125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425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309,126</w:t>
            </w: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</w:tcPr>
          <w:p w:rsidR="00D43DA5" w:rsidRPr="003C1450" w:rsidRDefault="00D43DA5" w:rsidP="00547125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3DA5" w:rsidRPr="007E04BF" w:rsidTr="00547125">
        <w:trPr>
          <w:trHeight w:val="395"/>
        </w:trPr>
        <w:tc>
          <w:tcPr>
            <w:tcW w:w="477" w:type="dxa"/>
            <w:vMerge w:val="restart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1560" w:type="dxa"/>
            <w:vMerge w:val="restart"/>
          </w:tcPr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155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E04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A5" w:rsidRPr="007E04BF" w:rsidTr="00547125">
        <w:trPr>
          <w:trHeight w:val="469"/>
        </w:trPr>
        <w:tc>
          <w:tcPr>
            <w:tcW w:w="477" w:type="dxa"/>
            <w:vMerge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425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A5" w:rsidRPr="007E04BF" w:rsidTr="00547125">
        <w:trPr>
          <w:trHeight w:val="636"/>
        </w:trPr>
        <w:tc>
          <w:tcPr>
            <w:tcW w:w="477" w:type="dxa"/>
            <w:vMerge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425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E04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A5" w:rsidRPr="007E04BF" w:rsidTr="00547125">
        <w:trPr>
          <w:trHeight w:val="787"/>
        </w:trPr>
        <w:tc>
          <w:tcPr>
            <w:tcW w:w="477" w:type="dxa"/>
            <w:vMerge w:val="restart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2" w:type="dxa"/>
            <w:vMerge w:val="restart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1560" w:type="dxa"/>
            <w:vMerge w:val="restart"/>
          </w:tcPr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309,126</w:t>
            </w: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43DA5" w:rsidRPr="007E04BF" w:rsidTr="00547125">
        <w:trPr>
          <w:trHeight w:val="434"/>
        </w:trPr>
        <w:tc>
          <w:tcPr>
            <w:tcW w:w="477" w:type="dxa"/>
            <w:vMerge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425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A5" w:rsidRPr="007E04BF" w:rsidTr="00547125">
        <w:trPr>
          <w:trHeight w:val="653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309,126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D43DA5" w:rsidRPr="007E04BF" w:rsidRDefault="00D43DA5" w:rsidP="0054712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D43DA5" w:rsidRPr="007E04BF" w:rsidRDefault="00D43DA5" w:rsidP="00D43DA5">
      <w:pPr>
        <w:tabs>
          <w:tab w:val="left" w:pos="1664"/>
        </w:tabs>
        <w:rPr>
          <w:rFonts w:ascii="Arial" w:hAnsi="Arial" w:cs="Arial"/>
          <w:b/>
          <w:sz w:val="24"/>
          <w:szCs w:val="24"/>
        </w:rPr>
      </w:pPr>
    </w:p>
    <w:p w:rsidR="00D43DA5" w:rsidRPr="007E04BF" w:rsidRDefault="00D43DA5" w:rsidP="00D43DA5">
      <w:pPr>
        <w:tabs>
          <w:tab w:val="left" w:pos="1664"/>
        </w:tabs>
        <w:jc w:val="right"/>
        <w:rPr>
          <w:rFonts w:ascii="Arial" w:hAnsi="Arial" w:cs="Arial"/>
          <w:b/>
          <w:sz w:val="24"/>
          <w:szCs w:val="24"/>
        </w:rPr>
      </w:pPr>
    </w:p>
    <w:p w:rsidR="00D43DA5" w:rsidRPr="007E04BF" w:rsidRDefault="00D43DA5" w:rsidP="00D43DA5">
      <w:pPr>
        <w:tabs>
          <w:tab w:val="left" w:pos="1664"/>
        </w:tabs>
        <w:jc w:val="right"/>
        <w:rPr>
          <w:rFonts w:ascii="Arial" w:hAnsi="Arial" w:cs="Arial"/>
          <w:b/>
          <w:sz w:val="24"/>
          <w:szCs w:val="24"/>
        </w:rPr>
      </w:pPr>
    </w:p>
    <w:p w:rsidR="00D43DA5" w:rsidRPr="007E04BF" w:rsidRDefault="00D43DA5" w:rsidP="00D43DA5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Приложение 3</w:t>
      </w:r>
    </w:p>
    <w:p w:rsidR="00D43DA5" w:rsidRPr="007E04BF" w:rsidRDefault="00D43DA5" w:rsidP="00D43DA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hAnsi="Arial" w:cs="Arial"/>
          <w:sz w:val="24"/>
          <w:szCs w:val="24"/>
        </w:rPr>
        <w:t>к программе «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</w:t>
      </w:r>
    </w:p>
    <w:p w:rsidR="00D43DA5" w:rsidRPr="007E04BF" w:rsidRDefault="00D43DA5" w:rsidP="00D43DA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 городской  среды»</w:t>
      </w:r>
    </w:p>
    <w:p w:rsidR="00D43DA5" w:rsidRPr="007E04BF" w:rsidRDefault="00D43DA5" w:rsidP="00D43DA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</w:p>
    <w:p w:rsidR="00D43DA5" w:rsidRPr="007E04BF" w:rsidRDefault="00D43DA5" w:rsidP="00D43DA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Предварительный перечень дворовых и общественных территорий, планируемых к благоустройству в 2019 году в рамках муниципальной программы </w:t>
      </w:r>
      <w:r w:rsidRPr="007E04BF">
        <w:rPr>
          <w:rFonts w:ascii="Arial" w:hAnsi="Arial" w:cs="Arial"/>
          <w:sz w:val="24"/>
          <w:szCs w:val="24"/>
        </w:rPr>
        <w:lastRenderedPageBreak/>
        <w:t>«Формирование комфортной городской (сельской) среды в МО Покровский сельсовет на 2018- 202</w:t>
      </w:r>
      <w:r>
        <w:rPr>
          <w:rFonts w:ascii="Arial" w:hAnsi="Arial" w:cs="Arial"/>
          <w:sz w:val="24"/>
          <w:szCs w:val="24"/>
        </w:rPr>
        <w:t>4</w:t>
      </w:r>
      <w:r w:rsidRPr="007E04BF">
        <w:rPr>
          <w:rFonts w:ascii="Arial" w:hAnsi="Arial" w:cs="Arial"/>
          <w:sz w:val="24"/>
          <w:szCs w:val="24"/>
        </w:rPr>
        <w:t xml:space="preserve"> годы»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10"/>
        <w:gridCol w:w="2147"/>
        <w:gridCol w:w="1710"/>
        <w:gridCol w:w="1774"/>
        <w:gridCol w:w="2230"/>
      </w:tblGrid>
      <w:tr w:rsidR="00D43DA5" w:rsidRPr="007E04BF" w:rsidTr="00547125">
        <w:tc>
          <w:tcPr>
            <w:tcW w:w="1000" w:type="pct"/>
          </w:tcPr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000" w:type="pct"/>
          </w:tcPr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</w:p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территории (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000" w:type="pct"/>
          </w:tcPr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Ориентировочная стоимость, тыс. руб.</w:t>
            </w:r>
          </w:p>
        </w:tc>
      </w:tr>
      <w:tr w:rsidR="00D43DA5" w:rsidRPr="007E04BF" w:rsidTr="00547125">
        <w:tc>
          <w:tcPr>
            <w:tcW w:w="1000" w:type="pct"/>
          </w:tcPr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Новосергиевский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Покровка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, сквер «Победы» </w:t>
            </w:r>
          </w:p>
        </w:tc>
        <w:tc>
          <w:tcPr>
            <w:tcW w:w="1000" w:type="pct"/>
          </w:tcPr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000" w:type="pct"/>
          </w:tcPr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Земляные работы, дорожки из ПГС и с асфальтовым покрытием, центральная площадка, сцена, туалет, озеленение, наружное освещение, 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МАФы</w:t>
            </w:r>
            <w:proofErr w:type="spellEnd"/>
          </w:p>
        </w:tc>
        <w:tc>
          <w:tcPr>
            <w:tcW w:w="1000" w:type="pct"/>
          </w:tcPr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43DA5" w:rsidRPr="007E04BF" w:rsidRDefault="00D43DA5" w:rsidP="0054712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          6182,526</w:t>
            </w:r>
          </w:p>
        </w:tc>
      </w:tr>
    </w:tbl>
    <w:p w:rsidR="00D43DA5" w:rsidRPr="007E04BF" w:rsidRDefault="00D43DA5" w:rsidP="00D43DA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3DA5" w:rsidRDefault="00D43DA5" w:rsidP="00D43DA5"/>
    <w:p w:rsidR="001248AE" w:rsidRDefault="001248AE" w:rsidP="00D43DA5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</w:pPr>
    </w:p>
    <w:sectPr w:rsidR="001248AE" w:rsidSect="00D43DA5">
      <w:pgSz w:w="11906" w:h="16838"/>
      <w:pgMar w:top="1134" w:right="850" w:bottom="170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821"/>
    <w:multiLevelType w:val="multilevel"/>
    <w:tmpl w:val="243A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D6B11"/>
    <w:multiLevelType w:val="multilevel"/>
    <w:tmpl w:val="75E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F5045"/>
    <w:multiLevelType w:val="hybridMultilevel"/>
    <w:tmpl w:val="78E43D3E"/>
    <w:lvl w:ilvl="0" w:tplc="148A4A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D"/>
    <w:rsid w:val="001248AE"/>
    <w:rsid w:val="00166FA3"/>
    <w:rsid w:val="001C5E65"/>
    <w:rsid w:val="003C1450"/>
    <w:rsid w:val="009C2C71"/>
    <w:rsid w:val="00C72470"/>
    <w:rsid w:val="00CC3155"/>
    <w:rsid w:val="00D43DA5"/>
    <w:rsid w:val="00E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9373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3937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520147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2019-07-15T11:53:00Z</dcterms:created>
  <dcterms:modified xsi:type="dcterms:W3CDTF">2019-09-05T04:40:00Z</dcterms:modified>
</cp:coreProperties>
</file>